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A7" w:rsidRPr="00C309A7" w:rsidRDefault="00C309A7" w:rsidP="00961A32">
      <w:pPr>
        <w:spacing w:before="240" w:after="0"/>
        <w:rPr>
          <w:b/>
          <w:sz w:val="40"/>
        </w:rPr>
      </w:pPr>
      <w:r w:rsidRPr="00C309A7">
        <w:rPr>
          <w:b/>
          <w:sz w:val="40"/>
        </w:rPr>
        <w:t>Essential Functions for the MLS Student</w:t>
      </w:r>
    </w:p>
    <w:p w:rsidR="009D1B66" w:rsidRPr="00AC3E6E" w:rsidRDefault="00C309A7" w:rsidP="009D1B66">
      <w:pPr>
        <w:rPr>
          <w:b/>
        </w:rPr>
      </w:pPr>
      <w:r w:rsidRPr="00AC3E6E">
        <w:t xml:space="preserve">The applicant needs to be able to meet the following minimum </w:t>
      </w:r>
      <w:r w:rsidRPr="00AC3E6E">
        <w:rPr>
          <w:b/>
        </w:rPr>
        <w:t>Essential Functions: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visual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 xml:space="preserve">Read orders, policies, procedures, test results, charts, graphs, instrument </w:t>
      </w:r>
      <w:r w:rsidR="00AC3E6E">
        <w:t>printouts, number sequence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Differentiate colors; e.g.,</w:t>
      </w:r>
      <w:r w:rsidR="00AC3E6E">
        <w:t xml:space="preserve"> test results, color codes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Identify microscopic structures, cells, organisms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Determine specimen suitability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motor/movement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Respond appropriately to alarms, pagers, telephones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Obtain and measure specimens and reagents precisely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Manipulate reagents, materials, instruments and analytical equipment according to established protocol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Stand and/or sit for prolonged periods of time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Comply with safety regulations; e.g., potential exposure to infectious organisms, body fluids and toxic chemicals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Perform duties requiring manual and finger dexterity; e.g., regulating and adjusting gauges, operating specialized equipment, using microscopes, performing venipunctures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Reach laboratory bench tops and shelves and patients lying in hospital beds or seated in specimen collection furniture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communication/behavioral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Remain calm and exercise good judgment under stressful and/or emergency situations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Communicate (written or verbal) with patients, fellow students, visitors and healthcare workers by giving or receiving instructions, test results and various messages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Maintain a cooperative and productive working relationship with patients, fellow students and healthcare workers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Remain flexible, creative and adaptive to professional and technical change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Manage use of time and organizational skills to effectively complete professional and technical tasks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Practice honest, compassionate, ethical and responsible conduct</w:t>
      </w:r>
    </w:p>
    <w:p w:rsidR="00C309A7" w:rsidRPr="00AC3E6E" w:rsidRDefault="00C309A7" w:rsidP="00AC3E6E">
      <w:pPr>
        <w:pStyle w:val="ListParagraph"/>
        <w:numPr>
          <w:ilvl w:val="0"/>
          <w:numId w:val="1"/>
        </w:numPr>
        <w:ind w:left="360"/>
      </w:pPr>
      <w:r w:rsidRPr="00AC3E6E">
        <w:t>Ability to perform intellectual/conceptual requirements: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Possess these intellectual skills: comprehension, measurement, mathematical calculation, reasoning, integration, analysis, comparison, self-expression and criticism</w:t>
      </w:r>
    </w:p>
    <w:p w:rsidR="00C309A7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Exercise sufficient judgment to recognize and correct performance deviations</w:t>
      </w:r>
    </w:p>
    <w:p w:rsidR="009D1B66" w:rsidRPr="00AC3E6E" w:rsidRDefault="00C309A7" w:rsidP="00AC3E6E">
      <w:pPr>
        <w:pStyle w:val="ListParagraph"/>
        <w:numPr>
          <w:ilvl w:val="1"/>
          <w:numId w:val="1"/>
        </w:numPr>
        <w:ind w:left="900"/>
      </w:pPr>
      <w:r w:rsidRPr="00AC3E6E">
        <w:t>Prepare, review and evaluate papers, laboratory reports, reagents and materials in order to meet the needs of various procedural standards.</w:t>
      </w:r>
    </w:p>
    <w:p w:rsidR="00C309A7" w:rsidRDefault="00C309A7" w:rsidP="00961A32">
      <w:pPr>
        <w:spacing w:after="0"/>
      </w:pPr>
      <w:r w:rsidRPr="00AC3E6E">
        <w:t>I acknowledge that I have read the essential functions and general entry-level competencies for the position</w:t>
      </w:r>
      <w:r w:rsidR="00185BAC">
        <w:t xml:space="preserve"> of Lab Student – Job Class #104012</w:t>
      </w:r>
      <w:r w:rsidRPr="00AC3E6E">
        <w:t>. I also verify that I can meet with reasonable accommodations the essential functions listed above.</w:t>
      </w:r>
      <w:bookmarkStart w:id="0" w:name="_GoBack"/>
      <w:bookmarkEnd w:id="0"/>
    </w:p>
    <w:p w:rsidR="00AC3E6E" w:rsidRDefault="00AC3E6E" w:rsidP="00667D70">
      <w:pPr>
        <w:spacing w:after="0" w:line="240" w:lineRule="auto"/>
      </w:pPr>
    </w:p>
    <w:p w:rsidR="00667D70" w:rsidRPr="00AC3E6E" w:rsidRDefault="00667D70" w:rsidP="00667D70">
      <w:pPr>
        <w:spacing w:after="0" w:line="240" w:lineRule="auto"/>
      </w:pPr>
    </w:p>
    <w:p w:rsidR="00AC3E6E" w:rsidRDefault="00AC3E6E" w:rsidP="00667D70">
      <w:pPr>
        <w:spacing w:after="0" w:line="240" w:lineRule="auto"/>
      </w:pPr>
      <w:r>
        <w:t>___________________________________________________________________________________________</w:t>
      </w:r>
    </w:p>
    <w:p w:rsidR="009D1B66" w:rsidRPr="00AC3E6E" w:rsidRDefault="00AC3E6E" w:rsidP="00667D70">
      <w:pPr>
        <w:spacing w:after="0" w:line="240" w:lineRule="auto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Printed Name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</w:p>
    <w:sectPr w:rsidR="009D1B66" w:rsidRPr="00AC3E6E" w:rsidSect="00C309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Technology – 3801 S National Ave – Springfield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Ave, Springfield MO 65807 – Ph.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1" name="Picture 1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C309A7">
    <w:pPr>
      <w:pStyle w:val="Header"/>
      <w:tabs>
        <w:tab w:val="clear" w:pos="4320"/>
        <w:tab w:val="clear" w:pos="8640"/>
        <w:tab w:val="right" w:pos="1008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3" name="Picture 3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C309A7">
    <w:pPr>
      <w:pStyle w:val="Head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C309A7">
    <w:pPr>
      <w:pStyle w:val="Head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C309A7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0FA"/>
    <w:multiLevelType w:val="hybridMultilevel"/>
    <w:tmpl w:val="2F96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F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185BAC"/>
    <w:rsid w:val="001E1A72"/>
    <w:rsid w:val="002905E6"/>
    <w:rsid w:val="002B194E"/>
    <w:rsid w:val="002D5668"/>
    <w:rsid w:val="005A68F3"/>
    <w:rsid w:val="00667329"/>
    <w:rsid w:val="00667D70"/>
    <w:rsid w:val="006B2CA6"/>
    <w:rsid w:val="00961A32"/>
    <w:rsid w:val="009B560D"/>
    <w:rsid w:val="009D1B66"/>
    <w:rsid w:val="00AC3E6E"/>
    <w:rsid w:val="00AF5383"/>
    <w:rsid w:val="00B857F0"/>
    <w:rsid w:val="00C309A7"/>
    <w:rsid w:val="00E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6D31D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paragraph" w:styleId="ListParagraph">
    <w:name w:val="List Paragraph"/>
    <w:basedOn w:val="Normal"/>
    <w:uiPriority w:val="34"/>
    <w:qFormat/>
    <w:rsid w:val="00C3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6</cp:revision>
  <dcterms:created xsi:type="dcterms:W3CDTF">2022-10-05T21:10:00Z</dcterms:created>
  <dcterms:modified xsi:type="dcterms:W3CDTF">2022-10-11T13:39:00Z</dcterms:modified>
</cp:coreProperties>
</file>